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Акционерное общество «Псковский электромашиностроительный завод»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(АО «ПЭМЗ»)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5"/>
          <w:szCs w:val="15"/>
        </w:rPr>
      </w:pPr>
      <w:bookmarkStart w:id="0" w:name="__DdeLink__898_1244984237"/>
      <w:r>
        <w:rPr>
          <w:rFonts w:eastAsia="Times New Roman" w:cs="Times New Roman" w:ascii="Times New Roman" w:hAnsi="Times New Roman"/>
          <w:bCs/>
          <w:sz w:val="15"/>
          <w:szCs w:val="15"/>
        </w:rPr>
        <w:t>180004,</w:t>
      </w:r>
      <w:bookmarkEnd w:id="0"/>
      <w:r>
        <w:rPr>
          <w:rFonts w:eastAsia="Times New Roman" w:cs="Times New Roman" w:ascii="Times New Roman" w:hAnsi="Times New Roman"/>
          <w:bCs/>
          <w:sz w:val="15"/>
          <w:szCs w:val="15"/>
        </w:rPr>
        <w:t xml:space="preserve"> г. Псков, Октябрьский пр-кт, д. 27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5"/>
          <w:szCs w:val="15"/>
        </w:rPr>
      </w:pPr>
      <w:r>
        <w:rPr>
          <w:rFonts w:eastAsia="Times New Roman" w:cs="Times New Roman" w:ascii="Times New Roman" w:hAnsi="Times New Roman"/>
          <w:bCs/>
          <w:sz w:val="15"/>
          <w:szCs w:val="15"/>
        </w:rPr>
        <w:t xml:space="preserve">ОГРН 1026000964494, ИНН 6027017700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(далее – Общество)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БЮЛЛЕТЕНЬ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  <w:t>для голосования на годовом общем собрании акционеров (далее - Собрание).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Способ принятия решений Собранием</w:t>
      </w:r>
      <w:r>
        <w:rPr>
          <w:rFonts w:eastAsia="Times New Roman" w:cs="Times New Roman" w:ascii="Times New Roman" w:hAnsi="Times New Roman"/>
          <w:sz w:val="15"/>
          <w:szCs w:val="15"/>
        </w:rPr>
        <w:t xml:space="preserve"> – заседание, совмещенное с заочным голосованием.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Дата, время проведения заседания:</w:t>
      </w:r>
      <w:r>
        <w:rPr>
          <w:rFonts w:eastAsia="Times New Roman" w:cs="Times New Roman" w:ascii="Times New Roman" w:hAnsi="Times New Roman"/>
          <w:sz w:val="15"/>
          <w:szCs w:val="15"/>
        </w:rPr>
        <w:t xml:space="preserve"> 22.05.2025 11.00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Место проведения заседания: </w:t>
      </w:r>
      <w:r>
        <w:rPr>
          <w:rFonts w:eastAsia="Times New Roman" w:cs="Times New Roman" w:ascii="Times New Roman" w:hAnsi="Times New Roman"/>
          <w:bCs/>
          <w:sz w:val="15"/>
          <w:szCs w:val="15"/>
        </w:rPr>
        <w:t>г. Псков, Октябрьский пр-кт, д. 27</w:t>
      </w:r>
      <w:r>
        <w:rPr>
          <w:rFonts w:eastAsia="Times New Roman" w:cs="Times New Roman" w:ascii="Times New Roman" w:hAnsi="Times New Roman"/>
          <w:sz w:val="15"/>
          <w:szCs w:val="15"/>
        </w:rPr>
        <w:t>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Дата окончания приема бюллетеней для голосования: </w:t>
      </w:r>
      <w:r>
        <w:rPr>
          <w:rFonts w:eastAsia="Times New Roman" w:cs="Times New Roman" w:ascii="Times New Roman" w:hAnsi="Times New Roman"/>
          <w:sz w:val="15"/>
          <w:szCs w:val="15"/>
        </w:rPr>
        <w:t>за 2 дня до даты, совмещенных с заочным голосованием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Почтовый адрес, по которому могут направляться заполненные бюллетени для голосования: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Cs/>
          <w:sz w:val="15"/>
          <w:szCs w:val="15"/>
        </w:rPr>
        <w:t>180004,г. Псков, Октябрьский пр-кт, д. 27</w:t>
      </w:r>
      <w:r>
        <w:rPr>
          <w:rFonts w:eastAsia="Times New Roman" w:cs="Times New Roman" w:ascii="Times New Roman" w:hAnsi="Times New Roman"/>
          <w:sz w:val="15"/>
          <w:szCs w:val="15"/>
        </w:rPr>
        <w:t>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Style w:val="11"/>
        <w:tblW w:w="5000" w:type="pct"/>
        <w:jc w:val="left"/>
        <w:tblInd w:w="-15" w:type="dxa"/>
        <w:tblBorders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1556"/>
        <w:gridCol w:w="7520"/>
        <w:gridCol w:w="1979"/>
      </w:tblGrid>
      <w:tr>
        <w:trPr/>
        <w:tc>
          <w:tcPr>
            <w:tcW w:w="15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</w:r>
          </w:p>
        </w:tc>
        <w:tc>
          <w:tcPr>
            <w:tcW w:w="19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Рег.№</w:t>
            </w:r>
          </w:p>
        </w:tc>
        <w:tc>
          <w:tcPr>
            <w:tcW w:w="75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Фамилия Имя Отчество / Наименование акционера</w:t>
            </w:r>
          </w:p>
        </w:tc>
        <w:tc>
          <w:tcPr>
            <w:tcW w:w="19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Количество голосов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1:</w:t>
      </w:r>
      <w:r>
        <w:rPr>
          <w:rFonts w:cs="Times New Roman" w:ascii="Times New Roman" w:hAnsi="Times New Roman"/>
          <w:b/>
          <w:i/>
          <w:sz w:val="15"/>
          <w:szCs w:val="15"/>
        </w:rPr>
        <w:t>«Утверждение годового отчета Общества за 2024 год»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1:</w:t>
      </w:r>
      <w:r>
        <w:rPr>
          <w:rFonts w:cs="Times New Roman" w:ascii="Times New Roman" w:hAnsi="Times New Roman"/>
          <w:b/>
          <w:i/>
          <w:sz w:val="15"/>
          <w:szCs w:val="15"/>
        </w:rPr>
        <w:t>Утвердить годовой отчет Общества за 2024 год.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2: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i/>
          <w:sz w:val="15"/>
          <w:szCs w:val="15"/>
        </w:rPr>
        <w:t>Утверждение годовой бухгалтерской (финансовой) отчетности Общества за 2024 год».</w:t>
      </w:r>
    </w:p>
    <w:p>
      <w:pPr>
        <w:pStyle w:val="Normal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2:</w:t>
      </w:r>
      <w:r>
        <w:rPr>
          <w:rFonts w:cs="Times New Roman" w:ascii="Times New Roman" w:hAnsi="Times New Roman"/>
          <w:b/>
          <w:i/>
          <w:sz w:val="15"/>
          <w:szCs w:val="15"/>
        </w:rPr>
        <w:t>Утвердить годовую бухгалтерскую (финансовую) отчетность Общества за 2024 год.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3: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bCs/>
          <w:i/>
          <w:sz w:val="15"/>
          <w:szCs w:val="15"/>
        </w:rPr>
        <w:t>Распределение прибыли (в том числе выплата (объявление) дивидендов) и убытков Общества по результатам финансово-хозяйственной деятельности за 2024 год</w:t>
      </w:r>
      <w:r>
        <w:rPr>
          <w:rFonts w:cs="Times New Roman" w:ascii="Times New Roman" w:hAnsi="Times New Roman"/>
          <w:b/>
          <w:i/>
          <w:sz w:val="15"/>
          <w:szCs w:val="15"/>
        </w:rPr>
        <w:t>».</w:t>
      </w:r>
    </w:p>
    <w:p>
      <w:pPr>
        <w:pStyle w:val="Normal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3:</w:t>
      </w:r>
      <w:r>
        <w:rPr>
          <w:rFonts w:cs="Times New Roman" w:ascii="Times New Roman" w:hAnsi="Times New Roman"/>
          <w:b/>
          <w:i/>
          <w:sz w:val="15"/>
          <w:szCs w:val="15"/>
        </w:rPr>
        <w:t xml:space="preserve">Чистую прибыль, полученную по итогам финансово-хозяйственной деятельности за 2024 год в размере </w:t>
      </w:r>
      <w:bookmarkStart w:id="1" w:name="_Hlk99526500"/>
      <w:r>
        <w:rPr>
          <w:rFonts w:cs="Times New Roman" w:ascii="Times New Roman" w:hAnsi="Times New Roman"/>
          <w:b/>
          <w:i/>
          <w:sz w:val="15"/>
          <w:szCs w:val="15"/>
        </w:rPr>
        <w:t xml:space="preserve">282 172 000 (Двести восемьдесят два миллиона сто семьдесят две тысячи) </w:t>
      </w:r>
      <w:bookmarkEnd w:id="1"/>
      <w:r>
        <w:rPr>
          <w:rFonts w:cs="Times New Roman" w:ascii="Times New Roman" w:hAnsi="Times New Roman"/>
          <w:b/>
          <w:i/>
          <w:sz w:val="15"/>
          <w:szCs w:val="15"/>
        </w:rPr>
        <w:t>рублей не распределять, дивиденды не выплачивать</w:t>
      </w:r>
      <w:r>
        <w:rPr>
          <w:rFonts w:cs="Times New Roman" w:ascii="Times New Roman" w:hAnsi="Times New Roman"/>
          <w:sz w:val="15"/>
          <w:szCs w:val="15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4:</w:t>
      </w:r>
      <w:r>
        <w:rPr>
          <w:rFonts w:cs="Times New Roman" w:ascii="Times New Roman" w:hAnsi="Times New Roman"/>
          <w:b/>
          <w:i/>
          <w:sz w:val="15"/>
          <w:szCs w:val="15"/>
        </w:rPr>
        <w:t>Избрание членов Совета директоров Общества.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i/>
          <w:i/>
          <w:sz w:val="15"/>
          <w:szCs w:val="15"/>
          <w:lang w:eastAsia="ru-RU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4:</w:t>
      </w:r>
      <w:r>
        <w:rPr>
          <w:rFonts w:eastAsia="Times New Roman" w:cs="Times New Roman" w:ascii="Times New Roman" w:hAnsi="Times New Roman"/>
          <w:b/>
          <w:i/>
          <w:sz w:val="15"/>
          <w:szCs w:val="15"/>
          <w:lang w:eastAsia="ru-RU"/>
        </w:rPr>
        <w:t>Избрать кумулятивным голосованием новый полномочный состав Совета директоров АО  «ПЭМЗ» в количестве 7 (Семь) членов из следующих кандидатов в данный орган управления:</w:t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1721"/>
        <w:gridCol w:w="688"/>
        <w:gridCol w:w="4767"/>
        <w:gridCol w:w="3878"/>
      </w:tblGrid>
      <w:tr>
        <w:trPr>
          <w:cantSplit w:val="true"/>
        </w:trPr>
        <w:tc>
          <w:tcPr>
            <w:tcW w:w="17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Количество мест</w:t>
            </w:r>
          </w:p>
        </w:tc>
        <w:tc>
          <w:tcPr>
            <w:tcW w:w="6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</w:r>
          </w:p>
        </w:tc>
        <w:tc>
          <w:tcPr>
            <w:tcW w:w="476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Количество голосов для кумулятивного голосования</w:t>
            </w:r>
          </w:p>
        </w:tc>
        <w:tc>
          <w:tcPr>
            <w:tcW w:w="38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11057" w:type="dxa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569"/>
        <w:gridCol w:w="6604"/>
        <w:gridCol w:w="1"/>
        <w:gridCol w:w="3883"/>
      </w:tblGrid>
      <w:tr>
        <w:trPr>
          <w:trHeight w:val="383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№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Ф.И.О. кандидатов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ЗА (распределение кумулятивных голосов)</w:t>
            </w:r>
          </w:p>
        </w:tc>
      </w:tr>
      <w:tr>
        <w:trPr>
          <w:trHeight w:val="126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>Каледин Александр Александрович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173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>Абрамычев Андрей Андреевич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207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>Ершов Василий Васильевич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206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4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 xml:space="preserve">Гуреев Михаил Андреевич 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137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 xml:space="preserve">Гуреева Ирина Александровна 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137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>Набока Наталья Геннадьевна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137" w:hRule="atLeast"/>
          <w:cantSplit w:val="true"/>
        </w:trPr>
        <w:tc>
          <w:tcPr>
            <w:tcW w:w="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66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5"/>
                <w:szCs w:val="15"/>
                <w:lang w:eastAsia="ru-RU"/>
              </w:rPr>
              <w:t>Тютюнник Сергей Анатольевич</w:t>
            </w:r>
          </w:p>
        </w:tc>
        <w:tc>
          <w:tcPr>
            <w:tcW w:w="388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198" w:hRule="atLeast"/>
          <w:cantSplit w:val="true"/>
        </w:trPr>
        <w:tc>
          <w:tcPr>
            <w:tcW w:w="717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 xml:space="preserve"> всех кандидатов</w:t>
            </w:r>
          </w:p>
        </w:tc>
        <w:tc>
          <w:tcPr>
            <w:tcW w:w="3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  <w:tr>
        <w:trPr>
          <w:trHeight w:val="75" w:hRule="atLeast"/>
          <w:cantSplit w:val="true"/>
        </w:trPr>
        <w:tc>
          <w:tcPr>
            <w:tcW w:w="717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 xml:space="preserve"> по всем кандидатам</w:t>
            </w:r>
          </w:p>
        </w:tc>
        <w:tc>
          <w:tcPr>
            <w:tcW w:w="388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>Внимание!</w:t>
      </w:r>
      <w:r>
        <w:rPr>
          <w:rFonts w:eastAsia="Times New Roman" w:cs="Times New Roman" w:ascii="Times New Roman" w:hAnsi="Times New Roman"/>
          <w:sz w:val="15"/>
          <w:szCs w:val="15"/>
        </w:rPr>
        <w:t xml:space="preserve"> При кумулятивном голосовании число голосов, принадлежащих каждому акционеру, умножается на число лиц (количество мест), которые должны быть избраны в совет директоров (наблюдательный совет)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5: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bCs/>
          <w:i/>
          <w:sz w:val="15"/>
          <w:szCs w:val="15"/>
        </w:rPr>
        <w:t>Установление суммы вознаграждения за исполнение обязанностей членами Совета директоров Общества</w:t>
      </w:r>
      <w:r>
        <w:rPr>
          <w:rFonts w:cs="Times New Roman" w:ascii="Times New Roman" w:hAnsi="Times New Roman"/>
          <w:b/>
          <w:i/>
          <w:sz w:val="15"/>
          <w:szCs w:val="15"/>
        </w:rPr>
        <w:t>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5:</w:t>
      </w:r>
      <w:r>
        <w:rPr>
          <w:rFonts w:cs="Times New Roman" w:ascii="Times New Roman" w:hAnsi="Times New Roman"/>
          <w:b/>
          <w:i/>
          <w:sz w:val="15"/>
          <w:szCs w:val="15"/>
        </w:rPr>
        <w:t>Установить сумму вознаграждения каждому члену Совета директоров АО «ПЭМЗ» за исполнение обязанностей в качестве члена Совета директоров Общества в размере 40 000 (Сорок тысяч) рублей за работу на каждом заседании Совета директоров АО «ПЭМЗ» с даты избрания в Совет директоров АО «ПЭМЗ» до даты прекращения полномочий в качестве члена Совета директоров АО «ПЭМЗ».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6: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bCs/>
          <w:i/>
          <w:sz w:val="15"/>
          <w:szCs w:val="15"/>
        </w:rPr>
        <w:t>Установление суммы вознаграждения за исполнение обязанностей Председателя Совета директоров Общества</w:t>
      </w:r>
      <w:r>
        <w:rPr>
          <w:rFonts w:cs="Times New Roman" w:ascii="Times New Roman" w:hAnsi="Times New Roman"/>
          <w:b/>
          <w:i/>
          <w:sz w:val="15"/>
          <w:szCs w:val="15"/>
        </w:rPr>
        <w:t>».</w:t>
      </w:r>
    </w:p>
    <w:p>
      <w:pPr>
        <w:pStyle w:val="Normal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6:</w:t>
      </w:r>
      <w:r>
        <w:rPr>
          <w:rFonts w:cs="Times New Roman" w:ascii="Times New Roman" w:hAnsi="Times New Roman"/>
          <w:b/>
          <w:i/>
          <w:sz w:val="15"/>
          <w:szCs w:val="15"/>
        </w:rPr>
        <w:t>Установить сумму вознаграждения Председателю Совета директоров АО «ПЭМЗ» за исполнение обязанностей в качестве Председателя Совета директоров Общества в размере 160 000 (Сто шестьдесят тысяч) рублей ежемесячно с даты избрания в качестве Председателя Совета директоров АО «ПЭМЗ» до даты прекращения полномочий в качестве Председателя Совета директоров АО «ПЭМЗ».</w:t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7: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i/>
          <w:sz w:val="15"/>
          <w:szCs w:val="15"/>
        </w:rPr>
        <w:t>Установление суммы вознаграждения за исполнение обязанностей Заместителя Председателя Совета директоров Общества».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7:</w:t>
      </w:r>
      <w:r>
        <w:rPr>
          <w:rFonts w:cs="Times New Roman" w:ascii="Times New Roman" w:hAnsi="Times New Roman"/>
          <w:b/>
          <w:i/>
          <w:sz w:val="15"/>
          <w:szCs w:val="15"/>
        </w:rPr>
        <w:t>Установить сумму вознаграждения Заместителю Председателя Совета директоров АО «ПЭМЗ» за исполнение обязанностей в качестве Заместителя Председателя Совета директоров Общества в размере 120 000 (Сто двадцать тысяч) рублей ежемесячно с даты избрания в качестве Заместителя Председателя Совета директоров АО «ПЭМЗ» до даты прекращения полномочий в качестве Заместителя Председателя Совета директоров АО «ПЭМЗ».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8: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bCs/>
          <w:i/>
          <w:sz w:val="15"/>
          <w:szCs w:val="15"/>
        </w:rPr>
        <w:t>Избрание ревизионной комиссии Общества</w:t>
      </w:r>
      <w:r>
        <w:rPr>
          <w:rFonts w:cs="Times New Roman" w:ascii="Times New Roman" w:hAnsi="Times New Roman"/>
          <w:bCs/>
          <w:sz w:val="15"/>
          <w:szCs w:val="15"/>
        </w:rPr>
        <w:t>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8:</w:t>
      </w:r>
      <w:r>
        <w:rPr>
          <w:rFonts w:cs="Times New Roman" w:ascii="Times New Roman" w:hAnsi="Times New Roman"/>
          <w:b/>
          <w:i/>
          <w:sz w:val="15"/>
          <w:szCs w:val="15"/>
        </w:rPr>
        <w:t>Избрать Ревизионную комиссию Общества из числа предложенных кандидатов в количестве 3 человек: Ипатова Мария Михайловна, Травина Ирина Вячеславовна, Юрова Наталья Николаевна.</w:t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433"/>
        <w:gridCol w:w="3752"/>
        <w:gridCol w:w="6870"/>
      </w:tblGrid>
      <w:tr>
        <w:trPr>
          <w:trHeight w:val="340" w:hRule="atLeast"/>
          <w:cantSplit w:val="true"/>
        </w:trPr>
        <w:tc>
          <w:tcPr>
            <w:tcW w:w="4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№</w:t>
            </w:r>
          </w:p>
        </w:tc>
        <w:tc>
          <w:tcPr>
            <w:tcW w:w="37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Ф.И.О. / Наименование</w:t>
            </w:r>
          </w:p>
        </w:tc>
        <w:tc>
          <w:tcPr>
            <w:tcW w:w="68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Варианты голосования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434"/>
        <w:gridCol w:w="3763"/>
        <w:gridCol w:w="984"/>
        <w:gridCol w:w="1010"/>
        <w:gridCol w:w="1015"/>
        <w:gridCol w:w="1015"/>
        <w:gridCol w:w="1447"/>
        <w:gridCol w:w="1385"/>
      </w:tblGrid>
      <w:tr>
        <w:trPr>
          <w:trHeight w:val="340" w:hRule="atLeast"/>
          <w:cantSplit w:val="true"/>
        </w:trPr>
        <w:tc>
          <w:tcPr>
            <w:tcW w:w="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1</w:t>
            </w:r>
          </w:p>
        </w:tc>
        <w:tc>
          <w:tcPr>
            <w:tcW w:w="37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i/>
                <w:sz w:val="15"/>
                <w:szCs w:val="15"/>
              </w:rPr>
              <w:t>Ипатова Мария Михайловна</w:t>
            </w:r>
          </w:p>
        </w:tc>
        <w:tc>
          <w:tcPr>
            <w:tcW w:w="9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ЗА</w:t>
            </w:r>
          </w:p>
        </w:tc>
        <w:tc>
          <w:tcPr>
            <w:tcW w:w="101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ПРОТИВ</w:t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44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ВОЗДЕРЖАЛСЯ</w:t>
            </w:r>
          </w:p>
        </w:tc>
        <w:tc>
          <w:tcPr>
            <w:tcW w:w="13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434"/>
        <w:gridCol w:w="3763"/>
        <w:gridCol w:w="984"/>
        <w:gridCol w:w="1010"/>
        <w:gridCol w:w="1015"/>
        <w:gridCol w:w="1015"/>
        <w:gridCol w:w="1447"/>
        <w:gridCol w:w="1385"/>
      </w:tblGrid>
      <w:tr>
        <w:trPr>
          <w:trHeight w:val="340" w:hRule="atLeast"/>
          <w:cantSplit w:val="true"/>
        </w:trPr>
        <w:tc>
          <w:tcPr>
            <w:tcW w:w="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37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i/>
                <w:sz w:val="15"/>
                <w:szCs w:val="15"/>
              </w:rPr>
              <w:t>Травина Ирина Вячеславовна</w:t>
            </w:r>
          </w:p>
        </w:tc>
        <w:tc>
          <w:tcPr>
            <w:tcW w:w="9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ЗА</w:t>
            </w:r>
          </w:p>
        </w:tc>
        <w:tc>
          <w:tcPr>
            <w:tcW w:w="101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ПРОТИВ</w:t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44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ВОЗДЕРЖАЛСЯ</w:t>
            </w:r>
          </w:p>
        </w:tc>
        <w:tc>
          <w:tcPr>
            <w:tcW w:w="13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434"/>
        <w:gridCol w:w="3763"/>
        <w:gridCol w:w="984"/>
        <w:gridCol w:w="1010"/>
        <w:gridCol w:w="1015"/>
        <w:gridCol w:w="1015"/>
        <w:gridCol w:w="1447"/>
        <w:gridCol w:w="1385"/>
      </w:tblGrid>
      <w:tr>
        <w:trPr>
          <w:trHeight w:val="340" w:hRule="atLeast"/>
          <w:cantSplit w:val="true"/>
        </w:trPr>
        <w:tc>
          <w:tcPr>
            <w:tcW w:w="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37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cs="Times New Roman" w:ascii="Times New Roman" w:hAnsi="Times New Roman"/>
                <w:b/>
                <w:i/>
                <w:sz w:val="15"/>
                <w:szCs w:val="15"/>
              </w:rPr>
              <w:t>Юрова Наталья Николаевна</w:t>
            </w:r>
          </w:p>
        </w:tc>
        <w:tc>
          <w:tcPr>
            <w:tcW w:w="9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ЗА</w:t>
            </w:r>
          </w:p>
        </w:tc>
        <w:tc>
          <w:tcPr>
            <w:tcW w:w="101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ПРОТИВ</w:t>
            </w:r>
          </w:p>
        </w:tc>
        <w:tc>
          <w:tcPr>
            <w:tcW w:w="101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  <w:tc>
          <w:tcPr>
            <w:tcW w:w="144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</w:rPr>
              <w:t>ВОЗДЕРЖАЛСЯ</w:t>
            </w:r>
          </w:p>
        </w:tc>
        <w:tc>
          <w:tcPr>
            <w:tcW w:w="1385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i/>
                <w:sz w:val="15"/>
                <w:szCs w:val="15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Вариантов голосования "ЗА" может быть выбрано (оставлено не зачеркнутыми) - </w:t>
      </w:r>
      <w:r>
        <w:rPr>
          <w:rFonts w:eastAsia="Times New Roman" w:cs="Times New Roman" w:ascii="Times New Roman" w:hAnsi="Times New Roman"/>
          <w:b/>
          <w:sz w:val="15"/>
          <w:szCs w:val="15"/>
          <w:shd w:fill="FFFFFF" w:val="clear"/>
        </w:rPr>
        <w:t>3 из 3.</w:t>
      </w:r>
    </w:p>
    <w:p>
      <w:pPr>
        <w:pStyle w:val="Normal"/>
        <w:spacing w:before="0" w:after="0"/>
        <w:ind w:left="567" w:hanging="0"/>
        <w:jc w:val="center"/>
        <w:rPr>
          <w:rFonts w:ascii="Times New Roman" w:hAnsi="Times New Roman" w:eastAsia="Times New Roman" w:cs="Times New Roman"/>
          <w:i/>
          <w:i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</w:r>
    </w:p>
    <w:tbl>
      <w:tblPr>
        <w:tblW w:w="5000" w:type="pct"/>
        <w:jc w:val="left"/>
        <w:tblInd w:w="-9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95" w:type="dxa"/>
          <w:bottom w:w="0" w:type="dxa"/>
          <w:right w:w="108" w:type="dxa"/>
        </w:tblCellMar>
        <w:tblLook w:val="0000"/>
      </w:tblPr>
      <w:tblGrid>
        <w:gridCol w:w="11055"/>
      </w:tblGrid>
      <w:tr>
        <w:trPr>
          <w:cantSplit w:val="true"/>
        </w:trPr>
        <w:tc>
          <w:tcPr>
            <w:tcW w:w="110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auto" w:val="clear"/>
            <w:tcMar>
              <w:left w:w="9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Оставьте только один выбранный вариант голосования, ненужные варианты голосования зачеркните.*</w:t>
            </w:r>
          </w:p>
        </w:tc>
      </w:tr>
    </w:tbl>
    <w:p>
      <w:pPr>
        <w:pStyle w:val="Normal"/>
        <w:spacing w:before="0" w:after="0"/>
        <w:ind w:left="567" w:hanging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</w:r>
    </w:p>
    <w:p>
      <w:pPr>
        <w:pStyle w:val="Normal"/>
        <w:spacing w:before="0" w:after="0"/>
        <w:ind w:left="567" w:hanging="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</w:r>
    </w:p>
    <w:p>
      <w:pPr>
        <w:pStyle w:val="Normal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Вопрос № 9: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 xml:space="preserve"> «</w:t>
      </w:r>
      <w:r>
        <w:rPr>
          <w:rFonts w:cs="Times New Roman" w:ascii="Times New Roman" w:hAnsi="Times New Roman"/>
          <w:b/>
          <w:bCs/>
          <w:i/>
          <w:sz w:val="15"/>
          <w:szCs w:val="15"/>
        </w:rPr>
        <w:t>Назначение аудитора Общества</w:t>
      </w:r>
      <w:r>
        <w:rPr>
          <w:rFonts w:cs="Times New Roman" w:ascii="Times New Roman" w:hAnsi="Times New Roman"/>
          <w:b/>
          <w:i/>
          <w:sz w:val="15"/>
          <w:szCs w:val="15"/>
        </w:rPr>
        <w:t>».</w:t>
      </w:r>
    </w:p>
    <w:p>
      <w:pPr>
        <w:pStyle w:val="Normal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eastAsia="Times New Roman" w:cs="Times New Roman" w:ascii="Times New Roman" w:hAnsi="Times New Roman"/>
          <w:i/>
          <w:sz w:val="15"/>
          <w:szCs w:val="15"/>
        </w:rPr>
        <w:t>Решение по вопросу № 9:</w:t>
      </w:r>
      <w:r>
        <w:rPr>
          <w:rFonts w:cs="Times New Roman" w:ascii="Times New Roman" w:hAnsi="Times New Roman"/>
          <w:b/>
          <w:i/>
          <w:sz w:val="15"/>
          <w:szCs w:val="15"/>
        </w:rPr>
        <w:t>Назначить в качестве Аудитора Общества – ООО АФ «Консультант-Аудит».</w:t>
      </w:r>
    </w:p>
    <w:tbl>
      <w:tblPr>
        <w:tblW w:w="5000" w:type="pct"/>
        <w:jc w:val="left"/>
        <w:tblInd w:w="0" w:type="dxa"/>
        <w:tblBorders>
          <w:top w:val="single" w:sz="2" w:space="0" w:color="00000A"/>
          <w:bottom w:val="single" w:sz="2" w:space="0" w:color="00000A"/>
          <w:right w:val="single" w:sz="4" w:space="0" w:color="00000A"/>
          <w:insideH w:val="single" w:sz="2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57"/>
        <w:gridCol w:w="1531"/>
        <w:gridCol w:w="687"/>
        <w:gridCol w:w="1357"/>
        <w:gridCol w:w="1530"/>
        <w:gridCol w:w="681"/>
        <w:gridCol w:w="2386"/>
        <w:gridCol w:w="1524"/>
      </w:tblGrid>
      <w:tr>
        <w:trPr>
          <w:cantSplit w:val="true"/>
        </w:trPr>
        <w:tc>
          <w:tcPr>
            <w:tcW w:w="1357" w:type="dxa"/>
            <w:tcBorders>
              <w:top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ЗА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135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ПРОТИВ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68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  <w:tc>
          <w:tcPr>
            <w:tcW w:w="238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sz w:val="15"/>
                <w:szCs w:val="15"/>
              </w:rPr>
              <w:t>ВОЗДЕРЖАЛСЯ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  <w:sz w:val="15"/>
                <w:szCs w:val="15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5"/>
                <w:szCs w:val="15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b/>
          <w:sz w:val="15"/>
          <w:szCs w:val="15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>
      <w:pPr>
        <w:pStyle w:val="Normal"/>
        <w:spacing w:lineRule="auto" w:line="240" w:before="0" w:after="0"/>
        <w:ind w:left="567" w:firstLine="567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>
      <w:pPr>
        <w:pStyle w:val="Normal"/>
        <w:spacing w:lineRule="auto" w:line="240" w:before="0" w:after="0"/>
        <w:ind w:left="567"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i/>
          <w:sz w:val="13"/>
          <w:szCs w:val="13"/>
        </w:rPr>
        <w:t>?</w:t>
      </w:r>
      <w:r>
        <w:rPr>
          <w:rFonts w:eastAsia="Times New Roman" w:cs="Times New Roman" w:ascii="Times New Roman" w:hAnsi="Times New Roman"/>
          <w:sz w:val="13"/>
          <w:szCs w:val="13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i/>
          <w:sz w:val="13"/>
          <w:szCs w:val="13"/>
        </w:rPr>
        <w:t></w:t>
      </w:r>
      <w:r>
        <w:rPr>
          <w:rFonts w:eastAsia="Times New Roman" w:cs="Times New Roman" w:ascii="Times New Roman" w:hAnsi="Times New Roman"/>
          <w:sz w:val="13"/>
          <w:szCs w:val="13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 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i/>
          <w:sz w:val="13"/>
          <w:szCs w:val="13"/>
        </w:rPr>
        <w:t></w:t>
      </w:r>
      <w:r>
        <w:rPr>
          <w:rFonts w:eastAsia="Times New Roman" w:cs="Times New Roman" w:ascii="Times New Roman" w:hAnsi="Times New Roman"/>
          <w:sz w:val="13"/>
          <w:szCs w:val="13"/>
        </w:rPr>
        <w:t>в случае если после даты, на которую определяются (фиксируются) лица, имеющие право голоса при принятии решений на собрании 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eastAsia="Times New Roman" w:cs="Times New Roman" w:ascii="Times New Roman" w:hAnsi="Times New Roman"/>
          <w:sz w:val="13"/>
          <w:szCs w:val="13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Перечень информации (материалов), предоставляемой акционерам при подготовке к проведению годового/внеочередного заседания/заочного голосования, и порядок ее предоставления: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1) годовой отчет общества;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2) годовая бухгалтерская (финансовая) отчетность общества,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аудита;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3) заключение ревизионной комиссии общества по результатам проверки годового отчета, годовой бухгалтерской (финансовой) отчетности общества, если в соответствии с федеральными законами или уставом общества наличие ревизионной комиссии общества является обязательным;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4) заключение внутреннего аудита, осуществляемого в публичном обществе;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i/>
          <w:i/>
          <w:sz w:val="13"/>
          <w:szCs w:val="13"/>
        </w:rPr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5) сведения о кандидате (кандидатах) в совет директоров (наблюдательный совет) общества, ревизионную комиссию общества, если в соответствии с федеральными законами или уставом общества наличие совета директоров (наблюдательного совета) и (или) ревизионной комиссии общества является обязательным, о кандидате (кандидатах) в исполнительные органы общества, счетную комиссию общества; 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 xml:space="preserve">6) проекты решений общего собрания акционеров; 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Лица, имеющие право голоса при принятии решений общим собранием акционеров Общества, вправе ознакомиться с указанными документами в течение (20 дней), в помещении исполнительного органа общества (</w:t>
      </w:r>
      <w:r>
        <w:rPr>
          <w:rFonts w:eastAsia="Times New Roman" w:cs="Times New Roman" w:ascii="Times New Roman" w:hAnsi="Times New Roman"/>
          <w:b/>
          <w:bCs/>
          <w:i/>
          <w:sz w:val="13"/>
          <w:szCs w:val="13"/>
        </w:rPr>
        <w:t>г. Псков, Октябрьский пр-кт, д. 27</w:t>
      </w: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), ежедневно в период с 01.05.2025 года по 2</w:t>
      </w: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1</w:t>
      </w:r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.05.2025 года, за исключением выходных и праздничных дней, с 09.00 до 16.00, а также во время проведения заседания по адресу: Российская Федерация, (</w:t>
      </w:r>
      <w:r>
        <w:rPr>
          <w:rFonts w:eastAsia="Times New Roman" w:cs="Times New Roman" w:ascii="Times New Roman" w:hAnsi="Times New Roman"/>
          <w:b/>
          <w:bCs/>
          <w:i/>
          <w:sz w:val="13"/>
          <w:szCs w:val="13"/>
        </w:rPr>
        <w:t>г. Псков, Октябрьский пр-кт, д. 27</w:t>
      </w:r>
      <w:bookmarkStart w:id="2" w:name="_GoBack"/>
      <w:bookmarkEnd w:id="2"/>
      <w:r>
        <w:rPr>
          <w:rFonts w:eastAsia="Times New Roman" w:cs="Times New Roman" w:ascii="Times New Roman" w:hAnsi="Times New Roman"/>
          <w:b/>
          <w:i/>
          <w:sz w:val="13"/>
          <w:szCs w:val="13"/>
        </w:rPr>
        <w:t>).</w:t>
      </w:r>
    </w:p>
    <w:sectPr>
      <w:footerReference w:type="default" r:id="rId2"/>
      <w:type w:val="nextPage"/>
      <w:pgSz w:w="11906" w:h="16838"/>
      <w:pgMar w:left="567" w:right="284" w:header="0" w:top="284" w:footer="567" w:bottom="62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rFonts w:ascii="Times New Roman" w:hAnsi="Times New Roman"/>
        <w:b/>
        <w:b/>
        <w:sz w:val="14"/>
        <w:szCs w:val="14"/>
        <w:u w:val="single"/>
      </w:rPr>
    </w:pPr>
    <w:r>
      <w:rPr>
        <w:rFonts w:ascii="Times New Roman" w:hAnsi="Times New Roman"/>
        <w:b/>
        <w:sz w:val="14"/>
        <w:szCs w:val="14"/>
        <w:u w:val="single"/>
      </w:rPr>
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</w:r>
  </w:p>
  <w:p>
    <w:pPr>
      <w:pStyle w:val="Normal"/>
      <w:spacing w:before="0" w:after="0"/>
      <w:jc w:val="center"/>
      <w:rPr>
        <w:rFonts w:ascii="Times New Roman" w:hAnsi="Times New Roman"/>
        <w:b/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</w:r>
  </w:p>
  <w:p>
    <w:pPr>
      <w:pStyle w:val="Normal"/>
      <w:spacing w:before="0" w:after="0"/>
      <w:rPr>
        <w:rFonts w:ascii="Times New Roman" w:hAnsi="Times New Roman"/>
        <w:b/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  <w:t>Подпись лица, имеющего право голоса при принятии решений (его представителя) ________________________________ (_______________________________________________)</w:t>
    </w:r>
  </w:p>
  <w:p>
    <w:pPr>
      <w:pStyle w:val="Normal"/>
      <w:spacing w:before="0" w:after="0"/>
      <w:ind w:left="5664" w:firstLine="708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(подпись)</w:t>
      <w:tab/>
      <w:tab/>
      <w:tab/>
      <w:tab/>
      <w:t>(Ф.И.О.)</w:t>
    </w:r>
  </w:p>
  <w:p>
    <w:pPr>
      <w:pStyle w:val="Normal"/>
      <w:spacing w:before="0" w:after="0"/>
      <w:rPr>
        <w:rFonts w:ascii="Times New Roman" w:hAnsi="Times New Roman"/>
        <w:b/>
        <w:b/>
        <w:sz w:val="14"/>
        <w:szCs w:val="14"/>
      </w:rPr>
    </w:pPr>
    <w:r>
      <w:rPr>
        <w:rFonts w:ascii="Times New Roman" w:hAnsi="Times New Roman"/>
        <w:b/>
        <w:sz w:val="14"/>
        <w:szCs w:val="14"/>
      </w:rPr>
      <w:t>по доверенности, выданной "____"______________г. ______________________________________________________________________________________________________________</w:t>
    </w:r>
  </w:p>
  <w:p>
    <w:pPr>
      <w:pStyle w:val="Normal"/>
      <w:spacing w:before="0" w:after="0"/>
      <w:ind w:left="5664" w:firstLine="708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(указать, кем выдана доверенность)</w:t>
    </w:r>
  </w:p>
  <w:p>
    <w:pPr>
      <w:pStyle w:val="21"/>
      <w:jc w:val="right"/>
      <w:rPr/>
    </w:pPr>
    <w:r>
      <w:rPr>
        <w:rFonts w:ascii="Times New Roman" w:hAnsi="Times New Roman"/>
        <w:sz w:val="14"/>
        <w:szCs w:val="14"/>
      </w:rPr>
      <w:t xml:space="preserve">Стр. </w:t>
    </w:r>
    <w:r>
      <w:rPr>
        <w:rFonts w:ascii="Times New Roman" w:hAnsi="Times New Roman"/>
        <w:sz w:val="14"/>
        <w:szCs w:val="14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ascii="Times New Roman" w:hAnsi="Times New Roman"/>
        <w:sz w:val="14"/>
        <w:szCs w:val="14"/>
      </w:rPr>
      <w:t xml:space="preserve"> из </w:t>
    </w:r>
    <w:r>
      <w:rPr>
        <w:rFonts w:ascii="Times New Roman" w:hAnsi="Times New Roman"/>
        <w:sz w:val="14"/>
        <w:szCs w:val="14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d6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Style16"/>
    <w:rsid w:val="00336d6d"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link w:val="1"/>
    <w:uiPriority w:val="99"/>
    <w:qFormat/>
    <w:locked/>
    <w:rsid w:val="008f5f3b"/>
    <w:rPr>
      <w:rFonts w:cs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5f3b"/>
    <w:rPr>
      <w:rFonts w:cs="Times New Roman"/>
      <w:sz w:val="16"/>
      <w:szCs w:val="16"/>
    </w:rPr>
  </w:style>
  <w:style w:type="character" w:styleId="Style14" w:customStyle="1">
    <w:name w:val="Текст примечания Знак"/>
    <w:basedOn w:val="DefaultParagraphFont"/>
    <w:link w:val="10"/>
    <w:uiPriority w:val="99"/>
    <w:semiHidden/>
    <w:qFormat/>
    <w:locked/>
    <w:rsid w:val="008f5f3b"/>
    <w:rPr>
      <w:rFonts w:cs="Times New Roman"/>
      <w:sz w:val="20"/>
      <w:szCs w:val="20"/>
    </w:rPr>
  </w:style>
  <w:style w:type="character" w:styleId="1" w:customStyle="1">
    <w:name w:val="Нижний колонтитул Знак1"/>
    <w:basedOn w:val="DefaultParagraphFont"/>
    <w:link w:val="a4"/>
    <w:uiPriority w:val="99"/>
    <w:semiHidden/>
    <w:qFormat/>
    <w:rsid w:val="008f5f3b"/>
    <w:rPr/>
  </w:style>
  <w:style w:type="character" w:styleId="11" w:customStyle="1">
    <w:name w:val="Текст примечания Знак1"/>
    <w:basedOn w:val="DefaultParagraphFont"/>
    <w:link w:val="a6"/>
    <w:uiPriority w:val="99"/>
    <w:semiHidden/>
    <w:qFormat/>
    <w:rsid w:val="008f5f3b"/>
    <w:rPr>
      <w:sz w:val="20"/>
      <w:szCs w:val="20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8f5f3b"/>
    <w:rPr>
      <w:rFonts w:ascii="Segoe UI" w:hAnsi="Segoe UI" w:cs="Segoe UI"/>
      <w:sz w:val="18"/>
      <w:szCs w:val="18"/>
    </w:rPr>
  </w:style>
  <w:style w:type="paragraph" w:styleId="Style16" w:customStyle="1">
    <w:name w:val="Заголовок"/>
    <w:basedOn w:val="Normal"/>
    <w:next w:val="Style17"/>
    <w:qFormat/>
    <w:rsid w:val="00336d6d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rsid w:val="00336d6d"/>
    <w:pPr>
      <w:spacing w:lineRule="auto" w:line="288" w:before="0" w:after="140"/>
    </w:pPr>
    <w:rPr/>
  </w:style>
  <w:style w:type="paragraph" w:styleId="Style18">
    <w:name w:val="Список"/>
    <w:basedOn w:val="Style17"/>
    <w:rsid w:val="00336d6d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Заглавие"/>
    <w:basedOn w:val="Normal"/>
    <w:rsid w:val="00336d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336d6d"/>
    <w:pPr>
      <w:suppressLineNumbers/>
    </w:pPr>
    <w:rPr>
      <w:rFonts w:cs="Mangal"/>
    </w:rPr>
  </w:style>
  <w:style w:type="paragraph" w:styleId="21" w:customStyle="1">
    <w:name w:val="Нижний колонтитул Знак2"/>
    <w:basedOn w:val="Normal"/>
    <w:link w:val="ac"/>
    <w:uiPriority w:val="99"/>
    <w:unhideWhenUsed/>
    <w:qFormat/>
    <w:rsid w:val="008f5f3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22" w:customStyle="1">
    <w:name w:val="Текст примечания Знак2"/>
    <w:basedOn w:val="Normal"/>
    <w:link w:val="ad"/>
    <w:uiPriority w:val="99"/>
    <w:semiHidden/>
    <w:unhideWhenUsed/>
    <w:qFormat/>
    <w:rsid w:val="008f5f3b"/>
    <w:pPr>
      <w:spacing w:lineRule="auto" w:line="240"/>
    </w:pPr>
    <w:rPr>
      <w:rFonts w:cs="Times New Roman"/>
      <w:sz w:val="20"/>
      <w:szCs w:val="20"/>
    </w:rPr>
  </w:style>
  <w:style w:type="paragraph" w:styleId="Style22">
    <w:name w:val="Нижний колонтитул"/>
    <w:basedOn w:val="Normal"/>
    <w:link w:val="20"/>
    <w:uiPriority w:val="99"/>
    <w:semiHidden/>
    <w:unhideWhenUsed/>
    <w:rsid w:val="008f5f3b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21"/>
    <w:uiPriority w:val="99"/>
    <w:semiHidden/>
    <w:unhideWhenUsed/>
    <w:qFormat/>
    <w:rsid w:val="008f5f3b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8f5f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uiPriority w:val="39"/>
    <w:rsid w:val="008f5f3b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2"/>
    <w:uiPriority w:val="39"/>
    <w:rsid w:val="008f5f3b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118</Paragraphs>
  <Company>OEM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2025-02-18T08:48:00Z</dcterms:created>
  <dc:creator>Поляруш Виктория</dc:creator>
  <dc:language>ru-RU</dc:language>
  <cp:lastPrinted>2025-04-23T05:46:00Z</cp:lastPrinted>
  <dcterms:modified xsi:type="dcterms:W3CDTF">2025-04-23T08:56:43Z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